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010C78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 w:rsidR="00753A24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D8A" w:rsidRPr="00EB063E" w:rsidRDefault="00EB063E" w:rsidP="00EB0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ТОП-5 нарушений арбитражных управляющих</w:t>
      </w:r>
      <w:r w:rsidR="00421DAF">
        <w:rPr>
          <w:rFonts w:ascii="Times New Roman" w:hAnsi="Times New Roman" w:cs="Times New Roman"/>
          <w:b/>
          <w:sz w:val="28"/>
          <w:szCs w:val="28"/>
        </w:rPr>
        <w:t xml:space="preserve"> Южного Урала</w:t>
      </w:r>
    </w:p>
    <w:p w:rsidR="00D30D8A" w:rsidRDefault="00D30D8A" w:rsidP="00D30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C78" w:rsidRDefault="00010C78" w:rsidP="00010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10C78">
        <w:rPr>
          <w:rFonts w:ascii="Times New Roman" w:hAnsi="Times New Roman" w:cs="Times New Roman"/>
          <w:b/>
          <w:sz w:val="28"/>
          <w:szCs w:val="28"/>
        </w:rPr>
        <w:t>В июле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Pr="00010C78">
        <w:rPr>
          <w:rFonts w:ascii="Times New Roman" w:hAnsi="Times New Roman" w:cs="Times New Roman"/>
          <w:b/>
          <w:sz w:val="28"/>
          <w:szCs w:val="28"/>
        </w:rPr>
        <w:t xml:space="preserve">, месяце саморегулируемых организаций в юбилейном календаре Большого Росреестра, продолжаем рассказывать о деятельности Управления Росреестра по Челябинской области по контролю саморегулируемых организаций арбитражных управляющих. Сегодня мы подготовили </w:t>
      </w:r>
      <w:r w:rsidRPr="00010C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топ-5 нарушений, </w:t>
      </w:r>
      <w:r w:rsidR="00B204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которые чаще всего </w:t>
      </w:r>
      <w:r w:rsidRPr="00010C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допуска</w:t>
      </w:r>
      <w:r w:rsidR="00B204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ют </w:t>
      </w:r>
      <w:r w:rsidRPr="00010C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арбитражны</w:t>
      </w:r>
      <w:r w:rsidR="00B204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</w:t>
      </w:r>
      <w:r w:rsidRPr="00010C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управляющи</w:t>
      </w:r>
      <w:r w:rsidR="00B204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</w:t>
      </w:r>
      <w:r w:rsidRPr="00010C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нашего региона.</w:t>
      </w:r>
    </w:p>
    <w:p w:rsidR="00010C78" w:rsidRDefault="00010C78" w:rsidP="00010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F5FAB" w:rsidRPr="00421DAF" w:rsidRDefault="00BF5FAB" w:rsidP="00BF5F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21D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1. Непредставление</w:t>
      </w:r>
      <w:r w:rsidR="00421DAF" w:rsidRPr="00421D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или </w:t>
      </w:r>
      <w:r w:rsidRPr="00421D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несвоевременное представление к судебному заседанию арбитражного суда отчета арбитражного управляющего о своей деятельности </w:t>
      </w:r>
      <w:r w:rsidRPr="00421D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(п. </w:t>
      </w:r>
      <w:r w:rsidR="00421DAF" w:rsidRPr="00421DAF">
        <w:rPr>
          <w:rFonts w:ascii="Times New Roman" w:hAnsi="Times New Roman" w:cs="Times New Roman"/>
          <w:noProof/>
          <w:sz w:val="28"/>
          <w:szCs w:val="28"/>
          <w:lang w:eastAsia="ru-RU"/>
        </w:rPr>
        <w:t>3 ст. 143 Закона о банкротстве).</w:t>
      </w:r>
    </w:p>
    <w:p w:rsidR="00BF5FAB" w:rsidRPr="00BF5FAB" w:rsidRDefault="00BF5FAB" w:rsidP="00BF5F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>Конкурсный управляющий доводит актуальную информацию о ходе процедуры банкротства</w:t>
      </w:r>
      <w:r w:rsidR="009D36B4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21D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предоставляя отчет о своей деятельности, из которого </w:t>
      </w:r>
      <w:r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>можно установить хронологию процедуры банкротства, узнать какие мероприятия уже проведены арбитражным управляющим,</w:t>
      </w:r>
      <w:r w:rsidR="00421D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</w:t>
      </w:r>
      <w:r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какие только предстоит сделать.</w:t>
      </w:r>
    </w:p>
    <w:p w:rsidR="00BF5FAB" w:rsidRPr="00BF5FAB" w:rsidRDefault="00BF5FAB" w:rsidP="00BF5F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21D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2. Заинтересованность в деле о банкротстве</w:t>
      </w:r>
      <w:r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(п. 2</w:t>
      </w:r>
      <w:r w:rsidR="00B934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ст. 20.2 Закона о банкротстве).</w:t>
      </w:r>
    </w:p>
    <w:p w:rsidR="00BF5FAB" w:rsidRPr="00BF5FAB" w:rsidRDefault="00421DAF" w:rsidP="00BF5F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BF5FAB"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>рбитражным судом в качестве временных управляющих, административных управляющих, внешних управляющих или конкурсных управляющих не могут быть утверждены в деле о банкротстве арбитражные управляющие, которые являются заинтересованными лицами по отношению к должнику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или</w:t>
      </w:r>
      <w:r w:rsidR="00BF5FAB"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кредиторам.</w:t>
      </w:r>
    </w:p>
    <w:p w:rsidR="00BF5FAB" w:rsidRDefault="00AD0E5B" w:rsidP="00AD0E5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Данное </w:t>
      </w:r>
      <w:r w:rsidR="00BF5FAB"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>требование обусловлено тем, что проце</w:t>
      </w:r>
      <w:r w:rsidR="009D36B4">
        <w:rPr>
          <w:rFonts w:ascii="Times New Roman" w:hAnsi="Times New Roman" w:cs="Times New Roman"/>
          <w:noProof/>
          <w:sz w:val="28"/>
          <w:szCs w:val="28"/>
          <w:lang w:eastAsia="ru-RU"/>
        </w:rPr>
        <w:t>дуры банкротства носят публично-</w:t>
      </w:r>
      <w:r w:rsidR="00BF5FAB"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правовой характер,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поэтому </w:t>
      </w:r>
      <w:r w:rsidR="00BF5FAB"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>основной обязанностью законодателя является максимально возможное сохранение баланса прав и законных интересов (зачастую диаметрально противоположных) участвующих в деле о банкротстве лиц, что, в числе прочего, обеспечивается посредством утверждения судом арбитражного управляющего, наделяемого для проведения процедур банкротства полномочиями, которые в значительной степени носят публично-правовой характер, решения которого являются обязательными и влекут правовые пос</w:t>
      </w:r>
      <w:r w:rsidR="00B27E5C">
        <w:rPr>
          <w:rFonts w:ascii="Times New Roman" w:hAnsi="Times New Roman" w:cs="Times New Roman"/>
          <w:noProof/>
          <w:sz w:val="28"/>
          <w:szCs w:val="28"/>
          <w:lang w:eastAsia="ru-RU"/>
        </w:rPr>
        <w:t>ледствия для широкого круга лиц.</w:t>
      </w:r>
    </w:p>
    <w:p w:rsidR="00BF5FAB" w:rsidRPr="00BF5FAB" w:rsidRDefault="00BF5FAB" w:rsidP="00BF5F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934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3.  Несвоевременная</w:t>
      </w:r>
      <w:r w:rsidR="00B934F6" w:rsidRPr="00B934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или </w:t>
      </w:r>
      <w:r w:rsidRPr="00B934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длительная подготовка финансового анализа должника, заключения о наличии </w:t>
      </w:r>
      <w:r w:rsidR="00B934F6" w:rsidRPr="00B934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(отсутствии)</w:t>
      </w:r>
      <w:r w:rsidRPr="00B934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признаков фиктивного или преднамеренного банкротства</w:t>
      </w:r>
      <w:r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(п. 8 </w:t>
      </w:r>
      <w:r w:rsidR="00B934F6">
        <w:rPr>
          <w:rFonts w:ascii="Times New Roman" w:hAnsi="Times New Roman" w:cs="Times New Roman"/>
          <w:noProof/>
          <w:sz w:val="28"/>
          <w:szCs w:val="28"/>
          <w:lang w:eastAsia="ru-RU"/>
        </w:rPr>
        <w:t>ст. 213.9 Закона о банкротстве).</w:t>
      </w:r>
    </w:p>
    <w:p w:rsidR="00BF5FAB" w:rsidRPr="00BF5FAB" w:rsidRDefault="00BF5FAB" w:rsidP="00BF5F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Проведение анализа финансового состояния гражданина, проверка наличия (отсутствия) признаков фиктивного (преднамеренного) банкротства являются ключевыми обязанностями арбитражного управляющего в деле о банкротстве. Кроме </w:t>
      </w:r>
      <w:r w:rsidR="009D36B4">
        <w:rPr>
          <w:rFonts w:ascii="Times New Roman" w:hAnsi="Times New Roman" w:cs="Times New Roman"/>
          <w:noProof/>
          <w:sz w:val="28"/>
          <w:szCs w:val="28"/>
          <w:lang w:eastAsia="ru-RU"/>
        </w:rPr>
        <w:t>того</w:t>
      </w:r>
      <w:r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9D36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это </w:t>
      </w:r>
      <w:r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>одн</w:t>
      </w:r>
      <w:r w:rsidR="009D36B4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 первостепенных мероприятий процедуры банкротства, так как от обстоятельств и выводов, установленных, сделанных в результате этой работы, зависит дальнейших ход всей процедуры банкротства (анализируются действия (бездействие) должника, повлекшие неспособность рассчитаться с кредиторами, выявляются подозрительные сделки, сделки по выводу имущества и т.д.).</w:t>
      </w:r>
    </w:p>
    <w:p w:rsidR="00BF5FAB" w:rsidRPr="00BF5FAB" w:rsidRDefault="00BF5FAB" w:rsidP="00BF5F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13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4. Использование абонентского ящика для получения заполненных бюллетеней для голосования</w:t>
      </w:r>
      <w:r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(п. 7 ст. 213.8 Закона о банкротстве).</w:t>
      </w:r>
    </w:p>
    <w:p w:rsidR="00BF5FAB" w:rsidRPr="00BF5FAB" w:rsidRDefault="00F65228" w:rsidP="00BF5F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="00BF5FAB"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ведомление о проведении собрания кредиторов в форме заочного голосования должно содержать почтовый адрес финансового управляющего, по которому </w:t>
      </w:r>
      <w:r w:rsidR="009D36B4">
        <w:rPr>
          <w:rFonts w:ascii="Times New Roman" w:hAnsi="Times New Roman" w:cs="Times New Roman"/>
          <w:noProof/>
          <w:sz w:val="28"/>
          <w:szCs w:val="28"/>
          <w:lang w:eastAsia="ru-RU"/>
        </w:rPr>
        <w:t>будут</w:t>
      </w:r>
      <w:r w:rsidR="00BF5FAB"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F5FAB"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направляться заполненные бюллетени для голосования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BF5FAB"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 этом использование почтового абонентского ящика для получения заполненных бюллетеней для голосования не допуска</w:t>
      </w:r>
      <w:r w:rsidR="00121DAA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BF5FAB"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>тся.</w:t>
      </w:r>
    </w:p>
    <w:p w:rsidR="00BF5FAB" w:rsidRPr="00BF5FAB" w:rsidRDefault="00BF5FAB" w:rsidP="00BF5F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652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5. Использование арбитражным управляющим личного счета для приема задатков, перечисляемых участниками торгов по реализации имущества должника</w:t>
      </w:r>
      <w:r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(п. </w:t>
      </w:r>
      <w:r w:rsidR="00F65228">
        <w:rPr>
          <w:rFonts w:ascii="Times New Roman" w:hAnsi="Times New Roman" w:cs="Times New Roman"/>
          <w:noProof/>
          <w:sz w:val="28"/>
          <w:szCs w:val="28"/>
          <w:lang w:eastAsia="ru-RU"/>
        </w:rPr>
        <w:t>3 ст. 138 Закона о банкротстве).</w:t>
      </w:r>
    </w:p>
    <w:p w:rsidR="00BF5FAB" w:rsidRPr="00BF5FAB" w:rsidRDefault="00BF5FAB" w:rsidP="00BF5F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>Законом о банкротстве предусмотрено (в том числе в деле о банкротстве гражданина), что арбитражный управляющий (если он является организатором торгов) должен открыть специальный банковский счет должника, на который подлежат зачислению задатки участников торгов.</w:t>
      </w:r>
      <w:r w:rsidR="004624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21DAA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Pr="00BF5FAB">
        <w:rPr>
          <w:rFonts w:ascii="Times New Roman" w:hAnsi="Times New Roman" w:cs="Times New Roman"/>
          <w:noProof/>
          <w:sz w:val="28"/>
          <w:szCs w:val="28"/>
          <w:lang w:eastAsia="ru-RU"/>
        </w:rPr>
        <w:t>рием задатков на расчетный счет арбитражного управляющего является нарушением.</w:t>
      </w:r>
    </w:p>
    <w:p w:rsidR="00913234" w:rsidRPr="00BF5FAB" w:rsidRDefault="00913234" w:rsidP="00BF5F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934A2" w:rsidRDefault="003934A2" w:rsidP="003934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</w:p>
    <w:p w:rsidR="003934A2" w:rsidRDefault="003934A2" w:rsidP="003934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</w:t>
      </w:r>
    </w:p>
    <w:p w:rsidR="00D73D6C" w:rsidRPr="00BF5FAB" w:rsidRDefault="00D73D6C" w:rsidP="003934A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bookmarkStart w:id="0" w:name="_GoBack"/>
      <w:bookmarkEnd w:id="0"/>
    </w:p>
    <w:sectPr w:rsidR="00D73D6C" w:rsidRPr="00BF5FAB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10C78"/>
    <w:rsid w:val="00041E68"/>
    <w:rsid w:val="000640A7"/>
    <w:rsid w:val="000A4AAB"/>
    <w:rsid w:val="00107DA0"/>
    <w:rsid w:val="00121DAA"/>
    <w:rsid w:val="00187604"/>
    <w:rsid w:val="00203A1D"/>
    <w:rsid w:val="00273DB7"/>
    <w:rsid w:val="00274438"/>
    <w:rsid w:val="0030267B"/>
    <w:rsid w:val="0031584D"/>
    <w:rsid w:val="003437AA"/>
    <w:rsid w:val="00354DA9"/>
    <w:rsid w:val="003934A2"/>
    <w:rsid w:val="003D5700"/>
    <w:rsid w:val="00421DAF"/>
    <w:rsid w:val="004578F7"/>
    <w:rsid w:val="00462403"/>
    <w:rsid w:val="0046595D"/>
    <w:rsid w:val="0046645D"/>
    <w:rsid w:val="004810E8"/>
    <w:rsid w:val="004F2771"/>
    <w:rsid w:val="004F4297"/>
    <w:rsid w:val="00563FB8"/>
    <w:rsid w:val="00574DCE"/>
    <w:rsid w:val="005D597E"/>
    <w:rsid w:val="005F6A87"/>
    <w:rsid w:val="00621848"/>
    <w:rsid w:val="0064173F"/>
    <w:rsid w:val="006856D4"/>
    <w:rsid w:val="00753A24"/>
    <w:rsid w:val="007601F0"/>
    <w:rsid w:val="00782F82"/>
    <w:rsid w:val="00790456"/>
    <w:rsid w:val="007B2B6D"/>
    <w:rsid w:val="007D6C5A"/>
    <w:rsid w:val="007E2282"/>
    <w:rsid w:val="00820D99"/>
    <w:rsid w:val="008971B8"/>
    <w:rsid w:val="008D0A28"/>
    <w:rsid w:val="00913234"/>
    <w:rsid w:val="00924A80"/>
    <w:rsid w:val="00941EF4"/>
    <w:rsid w:val="009839C6"/>
    <w:rsid w:val="009A0BC6"/>
    <w:rsid w:val="009D36B4"/>
    <w:rsid w:val="00AD0E5B"/>
    <w:rsid w:val="00B204DE"/>
    <w:rsid w:val="00B27E5C"/>
    <w:rsid w:val="00B422E5"/>
    <w:rsid w:val="00B66225"/>
    <w:rsid w:val="00B934F6"/>
    <w:rsid w:val="00BB2BCA"/>
    <w:rsid w:val="00BC72C9"/>
    <w:rsid w:val="00BD61A4"/>
    <w:rsid w:val="00BE2F91"/>
    <w:rsid w:val="00BF5FAB"/>
    <w:rsid w:val="00C11775"/>
    <w:rsid w:val="00C20854"/>
    <w:rsid w:val="00C6544D"/>
    <w:rsid w:val="00C95089"/>
    <w:rsid w:val="00C9637D"/>
    <w:rsid w:val="00CA31D3"/>
    <w:rsid w:val="00CB13E4"/>
    <w:rsid w:val="00CC12AD"/>
    <w:rsid w:val="00CC1AFA"/>
    <w:rsid w:val="00CC7B89"/>
    <w:rsid w:val="00CD0C46"/>
    <w:rsid w:val="00D04E3D"/>
    <w:rsid w:val="00D25E0A"/>
    <w:rsid w:val="00D30D8A"/>
    <w:rsid w:val="00D73D6C"/>
    <w:rsid w:val="00E766AB"/>
    <w:rsid w:val="00E97003"/>
    <w:rsid w:val="00EB063E"/>
    <w:rsid w:val="00F22E80"/>
    <w:rsid w:val="00F6052D"/>
    <w:rsid w:val="00F65228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EB06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Немчинов Геннадий</cp:lastModifiedBy>
  <cp:revision>46</cp:revision>
  <cp:lastPrinted>2023-07-14T08:53:00Z</cp:lastPrinted>
  <dcterms:created xsi:type="dcterms:W3CDTF">2023-05-16T04:10:00Z</dcterms:created>
  <dcterms:modified xsi:type="dcterms:W3CDTF">2023-07-18T05:36:00Z</dcterms:modified>
</cp:coreProperties>
</file>